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§2-1507. PROOF OF MARKET RENT;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