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3-1601</w:t>
        <w:t xml:space="preserve">.  </w:t>
      </w:r>
      <w:r>
        <w:rPr>
          <w:b/>
        </w:rPr>
        <w:t xml:space="preserve">Discharge and effect of discharge</w:t>
      </w:r>
    </w:p>
    <w:p>
      <w:pPr>
        <w:jc w:val="both"/>
        <w:spacing w:before="100" w:after="0"/>
        <w:ind w:start="360"/>
        <w:ind w:firstLine="360"/>
      </w:pPr>
      <w:r>
        <w:rPr>
          <w:b/>
        </w:rPr>
        <w:t>(1)</w:t>
        <w:t xml:space="preserve">.  </w:t>
      </w:r>
      <w:r>
        <w:rPr>
          <w:b/>
        </w:rPr>
      </w:r>
      <w:r>
        <w:t xml:space="preserve"> </w:t>
      </w:r>
      <w:r>
        <w:t xml:space="preserve">The obligation of a party to pay the instrument is discharged as stated in this Article or by an act or agreement with the party that would discharge an obligation to pay money under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Discharge of the obligation of a party is not effective against a person acquiring rights of a holder in due course of the instrument without notice of the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§3-1601. Discharge and effect of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§3-1601. Discharge and effect of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§3-1601. DISCHARGE AND EFFECT OF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