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When items subject to notice, stop-payment order, legal process or setoff; order in which items may be charged or certified</w:t>
      </w:r>
    </w:p>
    <w:p>
      <w:pPr>
        <w:jc w:val="both"/>
        <w:spacing w:before="100" w:after="100"/>
        <w:ind w:start="360"/>
        <w:ind w:firstLine="360"/>
      </w:pPr>
      <w:r>
        <w:rPr>
          <w:b/>
        </w:rPr>
        <w:t>(1)</w:t>
        <w:t xml:space="preserve">.  </w:t>
      </w:r>
      <w:r>
        <w:rPr>
          <w:b/>
        </w:rPr>
      </w:r>
      <w:r>
        <w:t xml:space="preserve"> </w:t>
      </w:r>
      <w:r>
        <w:t xml:space="preserve">Any knowledge, notice or stop-payment order received by, legal process served upon or setoff exercised by a payor bank comes too late to terminate, suspend or modify the bank's right or duty to pay an item or to charge its customer's account for the item if the knowledge, notice, stop-payment order or legal process is received or served and a reasonable time for the bank to act thereon expires or the setoff is exercised after the earliest of the following:</w:t>
      </w:r>
    </w:p>
    <w:p>
      <w:pPr>
        <w:jc w:val="both"/>
        <w:spacing w:before="100" w:after="0"/>
        <w:ind w:start="720"/>
      </w:pPr>
      <w:r>
        <w:rPr/>
        <w:t>(a)</w:t>
        <w:t xml:space="preserve">.  </w:t>
      </w:r>
      <w:r>
        <w:rPr/>
      </w:r>
      <w:r>
        <w:t xml:space="preserve">The bank accepts or certifies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(b)</w:t>
        <w:t xml:space="preserve">.  </w:t>
      </w:r>
      <w:r>
        <w:rPr/>
      </w:r>
      <w:r>
        <w:t xml:space="preserve">The bank pays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(c)</w:t>
        <w:t xml:space="preserve">.  </w:t>
      </w:r>
      <w:r>
        <w:rPr/>
      </w:r>
      <w:r>
        <w:t xml:space="preserve">The bank settles for the item without having a right to revoke the settlement under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§38 (RP).]</w:t>
      </w:r>
    </w:p>
    <w:p>
      <w:pPr>
        <w:jc w:val="both"/>
        <w:spacing w:before="100" w:after="0"/>
        <w:ind w:start="720"/>
      </w:pPr>
      <w:r>
        <w:rPr/>
        <w:t>(e)</w:t>
        <w:t xml:space="preserve">.  </w:t>
      </w:r>
      <w:r>
        <w:rPr/>
      </w:r>
      <w:r>
        <w:t xml:space="preserve">The bank becomes accountable for the amount of the item under </w:t>
      </w:r>
      <w:r>
        <w:t>section 4‑302</w:t>
      </w:r>
      <w:r>
        <w:t xml:space="preserve"> dealing with the payor bank's responsibility for late return of items; or</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(f)</w:t>
        <w:t xml:space="preserve">.  </w:t>
      </w:r>
      <w:r>
        <w:rPr/>
      </w:r>
      <w:r>
        <w:t xml:space="preserve">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w:pPr>
        <w:jc w:val="both"/>
        <w:spacing w:before="100" w:after="0"/>
        <w:ind w:start="360"/>
        <w:ind w:firstLine="360"/>
      </w:pPr>
      <w:r>
        <w:rPr>
          <w:b/>
        </w:rPr>
        <w:t>(2)</w:t>
        <w:t xml:space="preserve">.  </w:t>
      </w:r>
      <w:r>
        <w:rPr>
          <w:b/>
        </w:rPr>
      </w:r>
      <w:r>
        <w:t xml:space="preserve"> </w:t>
      </w:r>
      <w:r>
        <w:t xml:space="preserve">Subject to </w:t>
      </w:r>
      <w:r>
        <w:t>subsection (1)</w:t>
      </w:r>
      <w:r>
        <w:t xml:space="preserve">, items may be accepted, paid, certified or charged to the indicated account of its customer in any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§A111 (AMD). PL 1993, c. 293, §B38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 When items subject to notice, stop-payment order, legal process or setoff; order in which items may be charged or certified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When items subject to notice, stop-payment order, legal process or setoff; order in which items may be charged or certified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§4-303. WHEN ITEMS SUBJECT TO NOTICE, STOP-PAYMENT ORDER, LEGAL PROCESS OR SETOFF; ORDER IN WHICH ITEMS MAY BE CHARGED OR CERTIFIED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