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5-1116</w:t>
        <w:t xml:space="preserve">.  </w:t>
      </w:r>
      <w:r>
        <w:rPr>
          <w:b/>
        </w:rPr>
        <w:t xml:space="preserve">Choice of law and forum</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The liability of an issuer, nominated person or adviser for action or omission is governed by the law of the jurisdiction chosen by an agreement in the form of a record signed or otherwise authenticated by the affected parties in the manner provided in </w:t>
      </w:r>
      <w:r>
        <w:t>section 5‑1104</w:t>
      </w:r>
      <w:r>
        <w:t xml:space="preserve"> or by a provision in the person's letter of credit, confirmation or other undertaking.  The jurisdiction whose law is chosen need not bear any relation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The liability of an issuer, nominated person or adviser for action or omission is governed by the law of the jurisdiction chosen by an agreement in the form of a record signed by the affected parties or by a provision in the person's letter of credit, confirmation or other undertaking. The jurisdiction whose law is chosen need not bear any relation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§51 (AMD); PL 2023, c. 669, Pt. E, §1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Unless </w:t>
      </w:r>
      <w:r>
        <w:t>subsection (1)</w:t>
      </w:r>
      <w:r>
        <w:t xml:space="preserve"> applies, the liability of an issuer, nominated person or adviser for action or omission is governed by the law of the jurisdiction in which the person is located.  The person is considered to be located at the address indicated in the person's undertaking.  If more than one address is indicated, the person is considered to be located at the address from which the person's undertaking was issued.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Unless </w:t>
      </w:r>
      <w:r>
        <w:t>subsection (1)</w:t>
      </w:r>
      <w:r>
        <w:t xml:space="preserve"> applies, the liability of an issuer, nominated person or adviser for action or omission is governed by the law of the jurisdiction in which the person is located. The person is considered to be located at the address indicated in the person's undertaking. If more than one address is indicated, the person is considered to be located at the address from which the person's undertaking was issued.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subsection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§52 (AMD); PL 2023, c. 669, Pt. E, §1 (AFF).]</w:t>
      </w:r>
    </w:p>
    <w:p>
      <w:pPr>
        <w:jc w:val="both"/>
        <w:spacing w:before="100" w:after="0"/>
        <w:ind w:start="360"/>
        <w:ind w:firstLine="360"/>
      </w:pPr>
      <w:r>
        <w:rPr>
          <w:b/>
        </w:rPr>
        <w:t>(3)</w:t>
        <w:t xml:space="preserve">.  </w:t>
      </w:r>
      <w:r>
        <w:rPr>
          <w:b/>
        </w:rPr>
      </w:r>
      <w:r>
        <w:t xml:space="preserve"> </w:t>
      </w:r>
      <w:r>
        <w:t xml:space="preserve">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this Article would govern the liability of an issuer, nominated person, or adviser under </w:t>
      </w:r>
      <w:r>
        <w:t>subsection (1)</w:t>
      </w:r>
      <w:r>
        <w:t xml:space="preserve"> or </w:t>
      </w:r>
      <w:r>
        <w:t>(2)</w:t>
      </w:r>
      <w:r>
        <w:t xml:space="preserve">, the relevant undertaking incorporates rules of custom or practice and there is conflict between this article and those rules as applied to that undertaking, those rules govern except to the extent of any conflict with the nonvariable provisions specified in </w:t>
      </w:r>
      <w:r>
        <w:t>section 5‑1103,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If there is conflict between this Article and </w:t>
      </w:r>
      <w:r>
        <w:t>Article 3‑A</w:t>
      </w:r>
      <w:r>
        <w:t xml:space="preserve">, </w:t>
      </w:r>
      <w:r>
        <w:t>4</w:t>
      </w:r>
      <w:r>
        <w:t xml:space="preserve">, </w:t>
      </w:r>
      <w:r>
        <w:t>4‑A</w:t>
      </w:r>
      <w:r>
        <w:t xml:space="preserve"> or 9, this Article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The forum for settling disputes arising out of an undertaking within this Article may be chosen in the manner and with the binding effect that governing law may be chosen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2023, c. 669, Pt. A, §§51, 52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§5-1116. Choice of law and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§5-1116. Choice of law and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§5-1116. CHOICE OF LAW AND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