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5-1118</w:t>
        <w:t xml:space="preserve">.  </w:t>
      </w:r>
      <w:r>
        <w:rPr>
          <w:b/>
        </w:rPr>
        <w:t xml:space="preserve">Security interest of issuer or nominated person</w:t>
      </w:r>
    </w:p>
    <w:p>
      <w:pPr>
        <w:jc w:val="both"/>
        <w:spacing w:before="100" w:after="0"/>
        <w:ind w:start="360"/>
        <w:ind w:firstLine="360"/>
      </w:pPr>
      <w:r>
        <w:rPr>
          <w:b/>
        </w:rPr>
        <w:t>(1)</w:t>
        <w:t xml:space="preserve">.  </w:t>
      </w:r>
      <w:r>
        <w:rPr>
          <w:b/>
        </w:rPr>
      </w:r>
      <w:r>
        <w:t xml:space="preserve"> </w:t>
      </w:r>
      <w:r>
        <w:t xml:space="preserve">An issuer or nominated person has a security interest in a document presented under a letter of credit to the extent that the issuer or nominated person honors or gives value for the presentation.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B, §18 (NEW); PL 1999, c. 699, Pt. B, §28 (AFF).]</w:t>
      </w:r>
    </w:p>
    <w:p>
      <w:pPr>
        <w:jc w:val="both"/>
        <w:spacing w:before="100" w:after="100"/>
        <w:ind w:start="360"/>
        <w:ind w:firstLine="360"/>
      </w:pPr>
      <w:r>
        <w:rPr>
          <w:b/>
        </w:rPr>
        <w:t>(2)</w:t>
        <w:t xml:space="preserve">.  </w:t>
      </w:r>
      <w:r>
        <w:rPr>
          <w:b/>
        </w:rPr>
      </w:r>
      <w:r>
        <w:t xml:space="preserve"> </w:t>
      </w:r>
      <w:r>
        <w:t xml:space="preserve">So long as and to the extent that an issuer or nominated person has not been reimbursed or has not otherwise recovered the value given with respect to a security interest in a document under </w:t>
      </w:r>
      <w:r>
        <w:t>subsection (1)</w:t>
      </w:r>
      <w:r>
        <w:t xml:space="preserve">, the security interest continues and is subject to </w:t>
      </w:r>
      <w:r>
        <w:t>Article 9‑A</w:t>
      </w:r>
      <w:r>
        <w:t xml:space="preserve">, but:</w:t>
      </w:r>
    </w:p>
    <w:p>
      <w:pPr>
        <w:jc w:val="both"/>
        <w:spacing w:before="100" w:after="0"/>
        <w:ind w:start="720"/>
      </w:pPr>
      <w:r>
        <w:rPr/>
        <w:t>(a)</w:t>
        <w:t xml:space="preserve">.  </w:t>
      </w:r>
      <w:r>
        <w:rPr/>
      </w:r>
      <w:r>
        <w:t xml:space="preserve">A security agreement is not necessary to make the security interest enforceable under </w:t>
      </w:r>
      <w:r>
        <w:t>section 9‑1203, subsection (2), 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699, Pt. B, §18 (NEW); PL 1999, c. 699, Pt. B, §28 (AFF).]</w:t>
      </w:r>
    </w:p>
    <w:p>
      <w:pPr>
        <w:jc w:val="both"/>
        <w:spacing w:before="100" w:after="0"/>
        <w:ind w:start="720"/>
      </w:pPr>
      <w:r>
        <w:rPr/>
        <w:t>(b)</w:t>
        <w:t xml:space="preserve">.  </w:t>
      </w:r>
      <w:r>
        <w:rPr/>
      </w:r>
      <w:r>
        <w:t xml:space="preserve">If the document is presented in a medium other than a written or other tangible medium, the security interest is perfected; and</w:t>
      </w:r>
      <w:r>
        <w:t xml:space="preserve">  </w:t>
      </w:r>
      <w:r xmlns:wp="http://schemas.openxmlformats.org/drawingml/2010/wordprocessingDrawing" xmlns:w15="http://schemas.microsoft.com/office/word/2012/wordml">
        <w:rPr>
          <w:rFonts w:ascii="Arial" w:hAnsi="Arial" w:cs="Arial"/>
          <w:sz w:val="22"/>
          <w:szCs w:val="22"/>
        </w:rPr>
        <w:t xml:space="preserve">[PL 1999, c. 699, Pt. B, §18 (NEW); PL 1999, c. 699, Pt. B, §28 (AFF).]</w:t>
      </w:r>
    </w:p>
    <w:p>
      <w:pPr>
        <w:jc w:val="both"/>
        <w:spacing w:before="100" w:after="0"/>
        <w:ind w:start="720"/>
      </w:pPr>
      <w:r>
        <w:rPr/>
        <w:t>(c)</w:t>
        <w:t xml:space="preserve">.  </w:t>
      </w:r>
      <w:r>
        <w:rPr/>
      </w:r>
      <w:r>
        <w:t xml:space="preserve">If the document is presented in a written or other tangible medium and is not a certificated security, chattel paper, a document of title, an instrument or a letter of credit, the security interest is perfected and has priority over a conflicting security interest in the document so long as the debtor does not have possession of the document.</w:t>
      </w:r>
      <w:r>
        <w:t xml:space="preserve">  </w:t>
      </w:r>
      <w:r xmlns:wp="http://schemas.openxmlformats.org/drawingml/2010/wordprocessingDrawing" xmlns:w15="http://schemas.microsoft.com/office/word/2012/wordml">
        <w:rPr>
          <w:rFonts w:ascii="Arial" w:hAnsi="Arial" w:cs="Arial"/>
          <w:sz w:val="22"/>
          <w:szCs w:val="22"/>
        </w:rPr>
        <w:t xml:space="preserve">[PL 1999, c. 699, Pt. B, §18 (NEW); PL 1999, c. 699, Pt. B, §28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B, §18 (NEW); PL 1999, c. 699, Pt. B, §28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§B18 (NEW). PL 1999, c. 699, §B28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§5-1118. Security interest of issuer or nominated person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§5-1118. Security interest of issuer or nominated person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§5-1118. SECURITY INTEREST OF ISSUER OR NOMINATED PERSON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