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7-1105</w:t>
        <w:t xml:space="preserve">.  </w:t>
      </w:r>
      <w:r>
        <w:rPr>
          <w:b/>
        </w:rPr>
        <w:t xml:space="preserve">Reissuance in alternative medium</w:t>
      </w:r>
    </w:p>
    <w:p>
      <w:pPr>
        <w:jc w:val="both"/>
        <w:spacing w:before="100" w:after="100"/>
        <w:ind w:start="360"/>
        <w:ind w:firstLine="360"/>
      </w:pPr>
      <w:r>
        <w:rPr>
          <w:b/>
        </w:rPr>
        <w:t>(1)</w:t>
        <w:t xml:space="preserve">.  </w:t>
      </w:r>
      <w:r>
        <w:rPr>
          <w:b/>
        </w:rPr>
      </w:r>
      <w:r>
        <w:t xml:space="preserve"> </w:t>
      </w:r>
      <w:r>
        <w:t xml:space="preserve">Upon request of a person entitled under an electronic document of title, the issuer of the electronic document may issue a tangible document of title as a substitute for the electronic document if:</w:t>
      </w:r>
    </w:p>
    <w:p>
      <w:pPr>
        <w:jc w:val="both"/>
        <w:spacing w:before="100" w:after="0"/>
        <w:ind w:start="720"/>
      </w:pPr>
      <w:r>
        <w:rPr/>
        <w:t>(a)</w:t>
        <w:t xml:space="preserve">.  </w:t>
      </w:r>
      <w:r>
        <w:rPr/>
      </w:r>
      <w:r>
        <w:t xml:space="preserve">The person entitled under the electronic document surrenders control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tangible document when issued contains a statement that it is issued in substitution for the electronic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Upon issuance of a tangible document of title in substitution for an electronic document of title in accordance with </w:t>
      </w:r>
      <w:r>
        <w:t>subsection (1)</w:t>
      </w:r>
      <w:r>
        <w:t xml:space="preserve">:</w:t>
      </w:r>
    </w:p>
    <w:p>
      <w:pPr>
        <w:jc w:val="both"/>
        <w:spacing w:before="100" w:after="0"/>
        <w:ind w:start="720"/>
      </w:pPr>
      <w:r>
        <w:rPr/>
        <w:t>(a)</w:t>
        <w:t xml:space="preserve">.  </w:t>
      </w:r>
      <w:r>
        <w:rPr/>
      </w:r>
      <w:r>
        <w:t xml:space="preserve">The electronic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Upon request of a person entitled under a tangible document of title, the issuer of the tangible document may issue an electronic document of title as a substitute for the tangible document if:</w:t>
      </w:r>
    </w:p>
    <w:p>
      <w:pPr>
        <w:jc w:val="both"/>
        <w:spacing w:before="100" w:after="0"/>
        <w:ind w:start="720"/>
      </w:pPr>
      <w:r>
        <w:rPr/>
        <w:t>(a)</w:t>
        <w:t xml:space="preserve">.  </w:t>
      </w:r>
      <w:r>
        <w:rPr/>
      </w:r>
      <w:r>
        <w:t xml:space="preserve">The person entitled under the tangible document surrenders possession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electronic document when issued contains a statement that it is issued in substitution for the tangible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(4)</w:t>
        <w:t xml:space="preserve">.  </w:t>
      </w:r>
      <w:r>
        <w:rPr>
          <w:b/>
        </w:rPr>
      </w:r>
      <w:r>
        <w:t xml:space="preserve"> </w:t>
      </w:r>
      <w:r>
        <w:t xml:space="preserve">Upon issuance of an electronic document of title in substitution for a tangible document of title in accordance with </w:t>
      </w:r>
      <w:r>
        <w:t>subsection (3)</w:t>
      </w:r>
      <w:r>
        <w:t xml:space="preserve">:</w:t>
      </w:r>
    </w:p>
    <w:p>
      <w:pPr>
        <w:jc w:val="both"/>
        <w:spacing w:before="100" w:after="0"/>
        <w:ind w:start="720"/>
      </w:pPr>
      <w:r>
        <w:rPr/>
        <w:t>(a)</w:t>
        <w:t xml:space="preserve">.  </w:t>
      </w:r>
      <w:r>
        <w:rPr/>
      </w:r>
      <w:r>
        <w:t xml:space="preserve">The tangible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§7-1105. Reissuance in alternative medium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§7-1105. Reissuance in alternative medium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§7-1105. REISSUANCE IN ALTERNATIVE MEDIUM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