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§7-1308. Enforcement of carrier's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§7-1308. Enforcement of carrier's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§7-1308. ENFORCEMENT OF CARRIER'S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