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§7-1503. Document of title to goods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§7-1503. Document of title to goods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§7-1503. DOCUMENT OF TITLE TO GOODS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