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8-1109</w:t>
        <w:t xml:space="preserve">.  </w:t>
      </w:r>
      <w:r>
        <w:rPr>
          <w:b/>
        </w:rPr>
        <w:t xml:space="preserve">Warranties in indirect holding</w:t>
      </w:r>
    </w:p>
    <w:p>
      <w:pPr>
        <w:jc w:val="both"/>
        <w:spacing w:before="100" w:after="100"/>
        <w:ind w:start="360"/>
        <w:ind w:firstLine="360"/>
      </w:pPr>
      <w:r>
        <w:rPr>
          <w:b/>
        </w:rPr>
        <w:t>(1)</w:t>
        <w:t xml:space="preserve">.  </w:t>
      </w:r>
      <w:r>
        <w:rPr>
          <w:b/>
        </w:rPr>
      </w:r>
      <w:r>
        <w:t xml:space="preserve"> </w:t>
      </w:r>
      <w:r>
        <w:t xml:space="preserve">A person who originates an entitlement order to a securities intermediary warrants to the securities intermediary that:</w:t>
      </w:r>
    </w:p>
    <w:p>
      <w:pPr>
        <w:jc w:val="both"/>
        <w:spacing w:before="100" w:after="0"/>
        <w:ind w:start="720"/>
      </w:pPr>
      <w:r>
        <w:rPr/>
        <w:t>(a)</w:t>
        <w:t xml:space="preserve">.  </w:t>
      </w:r>
      <w:r>
        <w:rPr/>
      </w:r>
      <w:r>
        <w:t xml:space="preserve">The entitlement order is made by an appropriate person or, if the entitlement order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securities intermediary delivers a security certificate to its entitlement holder or causes its entitlement holder to be registered as the owner of an uncertificated security, the securities intermediary makes to the entitlement holder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§8-1109. Warranties in indirect 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§8-1109. Warranties in indirect 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§8-1109. WARRANTIES IN INDIRECT 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