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8-1401</w:t>
        <w:t xml:space="preserve">.  </w:t>
      </w:r>
      <w:r>
        <w:rPr>
          <w:b/>
        </w:rPr>
        <w:t xml:space="preserve">Duty of issuer to register transfer</w:t>
      </w:r>
    </w:p>
    <w:p>
      <w:pPr>
        <w:jc w:val="both"/>
        <w:spacing w:before="100" w:after="100"/>
        <w:ind w:start="360"/>
        <w:ind w:firstLine="360"/>
      </w:pPr>
      <w:r>
        <w:rPr>
          <w:b/>
        </w:rPr>
        <w:t>(1)</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pPr>
        <w:jc w:val="both"/>
        <w:spacing w:before="100" w:after="0"/>
        <w:ind w:start="720"/>
      </w:pPr>
      <w:r>
        <w:rPr/>
        <w:t>(a)</w:t>
        <w:t xml:space="preserve">.  </w:t>
      </w:r>
      <w:r>
        <w:rPr/>
      </w:r>
      <w:r>
        <w:t xml:space="preserve">Under the terms of the security, the person seeking registration of transfer is eligible to have the security registered in its name;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or instruction is made by the appropriate person or by an agent who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Reasonable assurance is given that the indorsement or instruction is genuine and authorized in accordance with </w:t>
      </w:r>
      <w:r>
        <w:t>section 8‑1402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Any applicable law relating to the collection of taxes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The transfer does not violate any restriction on transfer imposed by the issuer in accordance with </w:t>
      </w:r>
      <w:r>
        <w:t>section 8‑1204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A demand that the issuer not register transfer has not become effective under </w:t>
      </w:r>
      <w:r>
        <w:t>section 8‑1403</w:t>
      </w:r>
      <w:r>
        <w:t xml:space="preserve">, or the issuer has complied with </w:t>
      </w:r>
      <w:r>
        <w:t>section 8‑1403, subsection (2)</w:t>
      </w:r>
      <w:r>
        <w:t xml:space="preserve"> but no legal process or indemnity bond is obtained as provided in </w:t>
      </w:r>
      <w:r>
        <w:t>section 8‑1403,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(g)</w:t>
        <w:t xml:space="preserve">.  </w:t>
      </w:r>
      <w:r>
        <w:rPr/>
      </w:r>
      <w:r>
        <w:t xml:space="preserve">The transfer is in fact rightful or is to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an issuer is under a duty to register a transfer of a security, the issuer is liable to a person presenting a certificated security or an instruction for registration or to the person's principal for loss resulting from unreasonable delay in registration or failure or refusal to register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§8-1401. Duty of issuer to register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§8-1401. Duty of issuer to register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§8-1401. DUTY OF ISSUER TO REGISTER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