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9-1107-B</w:t>
        <w:t xml:space="preserve">.  </w:t>
      </w:r>
      <w:r>
        <w:rPr>
          <w:b/>
        </w:rPr>
        <w:t xml:space="preserve">No requirement to acknowledge or confirm; no duties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that has control under </w:t>
      </w:r>
      <w:r>
        <w:t>section 9‑1104</w:t>
      </w:r>
      <w:r>
        <w:t xml:space="preserve"> or </w:t>
      </w:r>
      <w:r>
        <w:t>9‑1105‑A</w:t>
      </w:r>
      <w:r>
        <w:t xml:space="preserve">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w:pPr>
        <w:jc w:val="both"/>
        <w:spacing w:before="100" w:after="0"/>
        <w:ind w:start="360"/>
        <w:ind w:firstLine="360"/>
      </w:pPr>
      <w:r>
        <w:rPr>
          <w:b/>
        </w:rPr>
        <w:t>(2)</w:t>
        <w:t xml:space="preserve">.  </w:t>
      </w:r>
      <w:r>
        <w:rPr>
          <w:b/>
        </w:rPr>
      </w:r>
      <w:r>
        <w:t xml:space="preserve"> </w:t>
      </w:r>
      <w:r>
        <w:t xml:space="preserve">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§9-1107-B. No requirement to acknowledge or confirm; no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§9-1107-B. No requirement to acknowledge or confirm; no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§9-1107-B. NO REQUIREMENT TO ACKNOWLEDGE OR CONFIRM; NO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