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9-1108</w:t>
        <w:t xml:space="preserve">.  </w:t>
      </w:r>
      <w:r>
        <w:rPr>
          <w:b/>
        </w:rPr>
        <w:t xml:space="preserve">Sufficiency of description</w:t>
      </w:r>
    </w:p>
    <w:p>
      <w:pPr>
        <w:jc w:val="both"/>
        <w:spacing w:before="100" w:after="0"/>
        <w:ind w:start="360"/>
        <w:ind w:firstLine="360"/>
      </w:pPr>
      <w:r>
        <w:rPr>
          <w:b/>
        </w:rPr>
        <w:t>(1)</w:t>
        <w:t xml:space="preserve">.  </w:t>
      </w:r>
      <w:r>
        <w:rPr>
          <w:b/>
        </w:rPr>
      </w:r>
      <w:r>
        <w:t xml:space="preserve"> </w:t>
      </w:r>
      <w:r>
        <w:t xml:space="preserve">Except as otherwise provided in </w:t>
      </w:r>
      <w:r>
        <w:t>subsections (3)</w:t>
      </w:r>
      <w:r>
        <w:t xml:space="preserve">, </w:t>
      </w:r>
      <w:r>
        <w:t>(4)</w:t>
      </w:r>
      <w:r>
        <w:t xml:space="preserve"> and </w:t>
      </w:r>
      <w:r>
        <w:t>(5)</w:t>
      </w:r>
      <w:r>
        <w:t xml:space="preserve">, a description of personal or real property is sufficient, whether or not it is specific, if it reasonably identifies what is described.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(4)</w:t>
      </w:r>
      <w:r>
        <w:t xml:space="preserve">, a description of collateral reasonably identifies the collateral if it identifies the collateral by:</w:t>
      </w:r>
    </w:p>
    <w:p>
      <w:pPr>
        <w:jc w:val="both"/>
        <w:spacing w:before="100" w:after="0"/>
        <w:ind w:start="720"/>
      </w:pPr>
      <w:r>
        <w:rPr/>
        <w:t>(a)</w:t>
        <w:t xml:space="preserve">.  </w:t>
      </w:r>
      <w:r>
        <w:rPr/>
      </w:r>
      <w:r>
        <w:t xml:space="preserve">Specific listing;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Category;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Except as otherwise provided in </w:t>
      </w:r>
      <w:r>
        <w:t>subsection (5)</w:t>
      </w:r>
      <w:r>
        <w:t xml:space="preserve">, a type of collateral defined in this Title;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Quantity;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Computational or allocational formula or procedure;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Except as otherwise provided in </w:t>
      </w:r>
      <w:r>
        <w:t>subsection (3)</w:t>
      </w:r>
      <w:r>
        <w:t xml:space="preserve">, any other method, if the identity of the collateral is objectively determinable.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description of collateral as "all the debtor's assets" or "all the debtor's personal property" or using words of similar import does not reasonably identify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Except as otherwise provided in </w:t>
      </w:r>
      <w:r>
        <w:t>subsection (5)</w:t>
      </w:r>
      <w:r>
        <w:t xml:space="preserve">, a description of a security entitlement, securities account or commodity account is sufficient if it describes:</w:t>
      </w:r>
    </w:p>
    <w:p>
      <w:pPr>
        <w:jc w:val="both"/>
        <w:spacing w:before="100" w:after="0"/>
        <w:ind w:start="720"/>
      </w:pPr>
      <w:r>
        <w:rPr/>
        <w:t>(a)</w:t>
        <w:t xml:space="preserve">.  </w:t>
      </w:r>
      <w:r>
        <w:rPr/>
      </w:r>
      <w:r>
        <w:t xml:space="preserve">The collateral by those terms or as investment property;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underlying financial asset or commodity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description only by type of collateral defined in this Title is an insufficient description of:</w:t>
      </w:r>
    </w:p>
    <w:p>
      <w:pPr>
        <w:jc w:val="both"/>
        <w:spacing w:before="100" w:after="0"/>
        <w:ind w:start="720"/>
      </w:pPr>
      <w:r>
        <w:rPr/>
        <w:t>(a)</w:t>
        <w:t xml:space="preserve">.  </w:t>
      </w:r>
      <w:r>
        <w:rPr/>
      </w:r>
      <w:r>
        <w:t xml:space="preserve">A commercial tort claim;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a consumer transaction, consumer goods, a security entitlement, a securities account or a commodity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§9-1108. Sufficiency of description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§9-1108. Sufficiency of description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§9-1108. SUFFICIENCY OF DESCRIPTION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