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b/>
        </w:rPr>
        <w:t>(TEXT EFFECTIVE UNTIL 7/01/25)</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w:pPr>
        <w:jc w:val="both"/>
        <w:spacing w:before="100" w:after="0"/>
        <w:ind w:start="720"/>
      </w:pPr>
      <w:r>
        <w:rPr/>
        <w:t>(c)</w:t>
        <w:t xml:space="preserve">.  </w:t>
      </w:r>
      <w:r>
        <w:rPr>
          <w:b/>
        </w:rPr>
        <w:t>(TEXT EFFECTIVE 7/01/25)</w:t>
        <w:t xml:space="preserve"> </w:t>
      </w:r>
      <w:r>
        <w:rPr/>
      </w:r>
      <w:r>
        <w:t xml:space="preserve">One of the following conditions is met:</w:t>
      </w:r>
    </w:p>
    <w:p>
      <w:pPr>
        <w:jc w:val="both"/>
        <w:spacing w:before="100" w:after="0"/>
        <w:ind w:start="1080"/>
      </w:pPr>
      <w:r>
        <w:rPr/>
        <w:t>(</w:t>
        <w:t>i</w:t>
        <w:t xml:space="preserve">)  </w:t>
      </w:r>
      <w:r>
        <w:rPr/>
      </w:r>
      <w:r>
        <w:t xml:space="preserve">The debtor has signed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8‑1301</w:t>
      </w:r>
      <w:r>
        <w:t xml:space="preserve"> pursuant to the debtor's security agreement;</w:t>
      </w:r>
    </w:p>
    <w:p>
      <w:pPr>
        <w:jc w:val="both"/>
        <w:spacing w:before="100" w:after="0"/>
        <w:ind w:start="1080"/>
      </w:pPr>
      <w:r>
        <w:rPr/>
        <w:t>(</w:t>
        <w:t>iv</w:t>
        <w:t xml:space="preserve">)  </w:t>
      </w:r>
      <w:r>
        <w:rPr/>
      </w:r>
      <w:r>
        <w:t xml:space="preserve">The collateral is controllable accounts, controllable electronic records, controllable payment intangibles, deposit accounts, electronic documents, investment property or letter-of-credit rights and the secured party has control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pursuant to the debtor's security agreement; or</w:t>
      </w:r>
    </w:p>
    <w:p>
      <w:pPr>
        <w:jc w:val="both"/>
        <w:spacing w:before="100" w:after="0"/>
        <w:ind w:start="1080"/>
      </w:pPr>
      <w:r>
        <w:rPr/>
        <w:t>(</w:t>
        <w:t>v</w:t>
        <w:t xml:space="preserve">)  </w:t>
      </w:r>
      <w:r>
        <w:rPr/>
      </w:r>
      <w:r>
        <w:t xml:space="preserve">The collateral is chattel paper and the secured party has possession and control under </w:t>
      </w:r>
      <w:r>
        <w:t>section 9‑1314‑A</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§89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 PL 2023, c. 669, Pt. A, §89 (AMD); PL 2023, c. 669, Pt. E, §1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PL 2023, c. 669, Pt. A, §89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§9-1203. Attachment and enforceability of security interest; proceeds; supporting obligations; formal 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§9-1203. Attachment and enforceability of security interest; proceeds; supporting obligations; formal 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§9-1203. ATTACHMENT AND ENFORCEABILITY OF SECURITY INTEREST; PROCEEDS; SUPPORTING OBLIGATIONS; FORMAL 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