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w:t>
      </w:r>
      <w:r>
        <w:t>subsection (2)</w:t>
      </w:r>
      <w:r>
        <w:t xml:space="preserve">, a secured party may perfect a security interest in goods, instruments, negotiable tangible documents or money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§107 (AMD); PL 2023, c. 669, Pt. E, §1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signs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w:pPr>
        <w:jc w:val="both"/>
        <w:spacing w:before="100" w:after="0"/>
        <w:ind w:start="720"/>
      </w:pPr>
      <w:r>
        <w:rPr/>
        <w:t>(b)</w:t>
        <w:t xml:space="preserve">.  </w:t>
      </w:r>
      <w:r>
        <w:rPr/>
      </w:r>
      <w:r>
        <w:t xml:space="preserve">The person takes possession of the collateral after having signed a record acknowledging that it will hold possession of the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perfection of a security interest depends upon possession of the collateral by a secured party, perfection occurs not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§109 (AMD); PL 2023, c. 669, Pt. E, §1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PL 2023, c. 669, Pt. A, §107-109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§9-1313. When possession by or delivery to secured party perfects security interest without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§9-1313. When possession by or delivery to secured party perfects security interest without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§9-1313. WHEN POSSESSION BY OR DELIVERY TO SECURED PARTY PERFECTS SECURITY INTEREST WITHOUT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