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9-1326-A</w:t>
        <w:t xml:space="preserve">.  </w:t>
      </w:r>
      <w:r>
        <w:rPr>
          <w:b/>
        </w:rPr>
        <w:t xml:space="preserve">Priority of security interest in controllable account, controllable electronic record and controllable payment intangible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 security interest in a controllable account, controllable electronic record or controllable payment intangible held by a secured party having control of the account, electronic record or payment intangible has priority over a conflicting security interest held by a secured party that does not have control.</w:t>
      </w:r>
      <w:r>
        <w:t xml:space="preserve">  </w:t>
      </w:r>
      <w:r xmlns:wp="http://schemas.openxmlformats.org/drawingml/2010/wordprocessingDrawing" xmlns:w15="http://schemas.microsoft.com/office/word/2012/wordml">
        <w:rPr>
          <w:rFonts w:ascii="Arial" w:hAnsi="Arial" w:cs="Arial"/>
          <w:sz w:val="22"/>
          <w:szCs w:val="22"/>
        </w:rPr>
        <w:t xml:space="preserve">[PL 2023, c. 669, Pt. A, §124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§124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§9-1326-A. Priority of security interest in controllable account, controllable electronic record and controllable payment intangible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§9-1326-A. Priority of security interest in controllable account, controllable electronic record and controllable payment intangible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§9-1326-A. PRIORITY OF SECURITY INTEREST IN CONTROLLABLE ACCOUNT, CONTROLLABLE ELECTRONIC RECORD AND CONTROLLABLE PAYMENT INTANGIBLE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