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w:pPr>
        <w:jc w:val="both"/>
        <w:spacing w:before="100" w:after="0"/>
        <w:ind w:start="720"/>
      </w:pPr>
      <w:r>
        <w:rPr/>
        <w:t>(b)</w:t>
        <w:t xml:space="preserve">.  </w:t>
      </w:r>
      <w:r>
        <w:rPr/>
      </w:r>
      <w:r>
        <w:t xml:space="preserve">The authoritative copies of the record evidencing the chattel paper do not indicate that the chattel paper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§125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§126 (AMD); PL 2023, c. 669, Pt. E, §1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UNTIL 7/01/25)</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7/01/25)</w:t>
        <w:t xml:space="preserve"> </w:t>
      </w:r>
      <w:r>
        <w:rPr>
          <w:b/>
        </w:rPr>
      </w:r>
      <w:r>
        <w:t xml:space="preserve"> </w:t>
      </w:r>
      <w:r>
        <w:t xml:space="preserve">For purposes of </w:t>
      </w:r>
      <w:r>
        <w:t>subsections (2)</w:t>
      </w:r>
      <w:r>
        <w:t xml:space="preserve"> and </w:t>
      </w:r>
      <w:r>
        <w:t>(4)</w:t>
      </w:r>
      <w:r>
        <w:t xml:space="preserve">, if the authoritative copies of the record evidencing chattel paper or an instrument indicate that the chattel paper or instrument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§127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§§125-127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§9-1330. Priority of purchaser of chattel paper or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§9-1330. Priority of purchaser of chattel paper or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§9-1330. PRIORITY OF PURCHASER OF CHATTEL PAPER OR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