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9-1342</w:t>
        <w:t xml:space="preserve">.  </w:t>
      </w:r>
      <w:r>
        <w:rPr>
          <w:b/>
        </w:rPr>
        <w:t xml:space="preserve">Bank's right to refuse to enter into or disclose existence of control agreement</w:t>
      </w:r>
    </w:p>
    <w:p>
      <w:pPr>
        <w:jc w:val="both"/>
        <w:spacing w:before="100" w:after="100"/>
        <w:ind w:start="360"/>
        <w:ind w:firstLine="360"/>
      </w:pPr>
      <w:r>
        <w:rPr/>
      </w:r>
      <w:r>
        <w:rPr/>
      </w:r>
      <w:r>
        <w:t xml:space="preserve">This Article does not require a bank to enter into an agreement of the kind described in </w:t>
      </w:r>
      <w:r>
        <w:t>section 9‑1104, subsection (1), paragraph (b)</w:t>
      </w:r>
      <w:r>
        <w:t xml:space="preserve">, even if its customer so requests or directs.  A bank that has entered into such an agreement is not required to confirm the existence of the agreement to another person unless requested to do so by its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§9-1342. Bank's right to refuse to enter into or disclose existence of control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§9-1342. Bank's right to refuse to enter into or disclose existence of control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§9-1342. BANK'S RIGHT TO REFUSE TO ENTER INTO OR DISCLOSE EXISTENCE OF CONTROL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