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9-1409</w:t>
        <w:t xml:space="preserve">.  </w:t>
      </w:r>
      <w:r>
        <w:rPr>
          <w:b/>
        </w:rPr>
        <w:t xml:space="preserve">Restrictions on assignment of letter-of-credit rights ineffective</w:t>
      </w:r>
    </w:p>
    <w:p>
      <w:pPr>
        <w:jc w:val="both"/>
        <w:spacing w:before="100" w:after="100"/>
        <w:ind w:start="360"/>
        <w:ind w:firstLine="360"/>
      </w:pPr>
      <w:r>
        <w:rPr>
          <w:b/>
        </w:rPr>
        <w:t>(1)</w:t>
        <w:t xml:space="preserve">.  </w:t>
      </w:r>
      <w:r>
        <w:rPr>
          <w:b/>
        </w:rPr>
      </w:r>
      <w:r>
        <w:t xml:space="preserve"> </w:t>
      </w:r>
      <w:r>
        <w:t xml:space="preserve">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pPr>
        <w:jc w:val="both"/>
        <w:spacing w:before="100" w:after="0"/>
        <w:ind w:start="720"/>
      </w:pPr>
      <w:r>
        <w:rPr/>
        <w:t>(a)</w:t>
        <w:t xml:space="preserve">.  </w:t>
      </w:r>
      <w:r>
        <w:rPr/>
      </w:r>
      <w:r>
        <w:t xml:space="preserve">Would impair the creation, attachment or perfection of a security interest in the letter-of-credit right;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the creation, attachment or perfection of the security interest may give rise to a default, breach, right of recoupment, claim, defense, termination, right of termination or remedy under the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the extent that a term in a letter of credit is ineffective under </w:t>
      </w:r>
      <w:r>
        <w:t>subsection (1)</w:t>
      </w:r>
      <w:r>
        <w:t xml:space="preserve"> but would be effective under law other than this Article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pPr>
        <w:jc w:val="both"/>
        <w:spacing w:before="100" w:after="0"/>
        <w:ind w:start="720"/>
      </w:pPr>
      <w:r>
        <w:rPr/>
        <w:t>(a)</w:t>
        <w:t xml:space="preserve">.  </w:t>
      </w:r>
      <w:r>
        <w:rPr/>
      </w:r>
      <w:r>
        <w:t xml:space="preserve">Is not enforceable against the applicant, issuer, nominated person or transferee beneficiary;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Imposes no duties or obligations on the applicant, issuer, nominated person or transferee beneficiary;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applicant, issuer, nominated person or transferee beneficiary to recognize the security interest, pay or render performance to the secured party or accept payment or other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§9-1409. Restrictions on assignment of letter-of-credit rights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§9-1409. Restrictions on assignment of letter-of-credit rights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§9-1409. RESTRICTIONS ON ASSIGNMENT OF LETTER-OF-CREDIT RIGHTS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