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9-1513</w:t>
        <w:t xml:space="preserve">.  </w:t>
      </w:r>
      <w:r>
        <w:rPr>
          <w:b/>
        </w:rPr>
        <w:t xml:space="preserve">Termination statement</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A secured party shall cause the secured party of record for a financing statement to file a termination statement for the financing statement if  the financing statement covers consumer goods and:</w:t>
      </w:r>
    </w:p>
    <w:p>
      <w:pPr>
        <w:jc w:val="both"/>
        <w:spacing w:before="100" w:after="0"/>
        <w:ind w:start="720"/>
      </w:pPr>
      <w:r>
        <w:rPr/>
        <w:t>(a)</w:t>
        <w:t xml:space="preserve">.  </w:t>
      </w:r>
      <w:r>
        <w:rPr/>
      </w:r>
      <w:r>
        <w:t xml:space="preserve">There is no obligation secured by the collateral covered by the financing statement and no commitment to make an advance, incur an obligation or otherwise give value;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debtor did not authorize the filing of the initial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To comply with </w:t>
      </w:r>
      <w:r>
        <w:t>subsection (1)</w:t>
      </w:r>
      <w:r>
        <w:t xml:space="preserve">, a secured party shall cause the secured party of record to file the termination statement:</w:t>
      </w:r>
    </w:p>
    <w:p>
      <w:pPr>
        <w:jc w:val="both"/>
        <w:spacing w:before="100" w:after="0"/>
        <w:ind w:start="720"/>
      </w:pPr>
      <w:r>
        <w:rPr/>
        <w:t>(a)</w:t>
        <w:t xml:space="preserve">.  </w:t>
      </w:r>
      <w:r>
        <w:rPr/>
      </w:r>
      <w:r>
        <w:t xml:space="preserve">Within 60 days after there is no obligation secured by the collateral covered by the financing statement and no commitment to make an advance, incur an obligation or otherwise give value;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b/>
        </w:rPr>
        <w:t>(TEXT EFFECTIVE UNTIL 7/01/25)</w:t>
        <w:t xml:space="preserve"> </w:t>
      </w:r>
      <w:r>
        <w:rPr/>
      </w:r>
      <w:r>
        <w:t xml:space="preserve">If earlier, within 20 days after the secured party receives an authenticated demand from a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b/>
        </w:rPr>
        <w:t>(TEXT EFFECTIVE 7/01/25)</w:t>
        <w:t xml:space="preserve"> </w:t>
      </w:r>
      <w:r>
        <w:rPr/>
      </w:r>
      <w:r>
        <w:t xml:space="preserve">If earlier, within 20 days after the secured party receives a signed demand from a debtor.</w:t>
      </w:r>
      <w:r>
        <w:t xml:space="preserve">  </w:t>
      </w:r>
      <w:r xmlns:wp="http://schemas.openxmlformats.org/drawingml/2010/wordprocessingDrawing" xmlns:w15="http://schemas.microsoft.com/office/word/2012/wordml">
        <w:rPr>
          <w:rFonts w:ascii="Arial" w:hAnsi="Arial" w:cs="Arial"/>
          <w:sz w:val="22"/>
          <w:szCs w:val="22"/>
        </w:rPr>
        <w:t xml:space="preserve">[PL 2023, c. 669, Pt. A, §141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§141 (AMD); PL 2023, c. 669, Pt. E, §1 (AFF).]</w:t>
      </w:r>
    </w:p>
    <w:p>
      <w:pPr>
        <w:jc w:val="both"/>
        <w:spacing w:before="100" w:after="100"/>
        <w:ind w:start="360"/>
        <w:ind w:firstLine="360"/>
      </w:pPr>
      <w:r>
        <w:rPr>
          <w:b/>
        </w:rPr>
        <w:t>(3)</w:t>
        <w:t xml:space="preserve">.  </w:t>
      </w:r>
      <w:r>
        <w:rPr>
          <w:b/>
        </w:rPr>
        <w:t>(TEXT EFFECTIVE UNTIL 7/01/25)</w:t>
        <w:t xml:space="preserve"> </w:t>
      </w:r>
      <w:r>
        <w:rPr>
          <w:b/>
        </w:rPr>
      </w:r>
      <w:r>
        <w:t xml:space="preserve"> </w:t>
      </w:r>
      <w:r>
        <w:t xml:space="preserve">In cases not governed by </w:t>
      </w:r>
      <w:r>
        <w:t>subsection (1)</w:t>
      </w:r>
      <w:r>
        <w:t xml:space="preserve">, within 20 days after a secured party receives an authenticated demand from a debtor, the secured party shall cause the secured party of record for a financing statement to send to the debtor a termination statement for the financing statement or file the termination statement in the filing office if:</w:t>
      </w:r>
    </w:p>
    <w:p>
      <w:pPr>
        <w:jc w:val="both"/>
        <w:spacing w:before="100" w:after="0"/>
        <w:ind w:start="720"/>
      </w:pPr>
      <w:r>
        <w:rPr/>
        <w:t>(a)</w:t>
        <w:t xml:space="preserve">.  </w:t>
      </w:r>
      <w:r>
        <w:rPr/>
      </w:r>
      <w:r>
        <w:t xml:space="preserve">Except in the case of a financing statement covering accounts or chattel paper that has been sold or goods that are the subject of a consignment, there is no obligation secured by the collateral covered by the financing statement and no commitment to make an advance, incur an obligation or otherwise give value;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financing statement covers accounts or chattel paper that has been sold but as to which the account debtor or other person obligated has discharged its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financing statement covers goods that were the subject of a consignment to the debtor but are not in the debtor's possession;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debtor did not authorize the filing of the initial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t>(TEXT EFFECTIVE 7/01/25)</w:t>
        <w:t xml:space="preserve"> </w:t>
      </w:r>
      <w:r>
        <w:rPr>
          <w:b/>
        </w:rPr>
      </w:r>
      <w:r>
        <w:t xml:space="preserve"> </w:t>
      </w:r>
      <w:r>
        <w:t xml:space="preserve">In cases not governed by </w:t>
      </w:r>
      <w:r>
        <w:t>subsection (1)</w:t>
      </w:r>
      <w:r>
        <w:t xml:space="preserve">, within 20 days after a secured party receives a signed demand from a debtor, the secured party shall cause the secured party of record for a financing statement to send to the debtor a termination statement for the financing statement or file the termination statement in the filing office if:</w:t>
      </w:r>
    </w:p>
    <w:p>
      <w:pPr>
        <w:jc w:val="both"/>
        <w:spacing w:before="100" w:after="0"/>
        <w:ind w:start="720"/>
      </w:pPr>
      <w:r>
        <w:rPr/>
        <w:t>(a)</w:t>
        <w:t xml:space="preserve">.  </w:t>
      </w:r>
      <w:r>
        <w:rPr/>
      </w:r>
      <w:r>
        <w:t xml:space="preserve">Except in the case of a financing statement covering accounts or chattel paper that has been sold or goods that are the subject of a consignment, there is no obligation secured by the collateral covered by the financing statement and no commitment to make an advance, incur an obligation or otherwise give value;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financing statement covers accounts or chattel paper that has been sold but as to which the account debtor or other person obligated has discharged its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financing statement covers goods that were the subject of a consignment to the debtor but are not in the debtor's possession;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debtor did not authorize the filing of the initial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§142 (AMD); PL 2023, c. 669, Pt. E, §1 (AFF).]</w:t>
      </w:r>
    </w:p>
    <w:p>
      <w:pPr>
        <w:jc w:val="both"/>
        <w:spacing w:before="100" w:after="0"/>
        <w:ind w:start="360"/>
        <w:ind w:firstLine="360"/>
      </w:pPr>
      <w:r>
        <w:rPr>
          <w:b/>
        </w:rPr>
        <w:t>(4)</w:t>
        <w:t xml:space="preserve">.  </w:t>
      </w:r>
      <w:r>
        <w:rPr>
          <w:b/>
        </w:rPr>
      </w:r>
      <w:r>
        <w:t xml:space="preserve"> </w:t>
      </w:r>
      <w:r>
        <w:t xml:space="preserve">Except as otherwise provided in </w:t>
      </w:r>
      <w:r>
        <w:t>section 9‑1510</w:t>
      </w:r>
      <w:r>
        <w:t xml:space="preserve">, upon the filing of a termination statement with the filing office, the financing statement to which the termination statement relates ceases to be effective.  Except as otherwise provided in </w:t>
      </w:r>
      <w:r>
        <w:t>section 9‑1510</w:t>
      </w:r>
      <w:r>
        <w:t xml:space="preserve">, for purposes of </w:t>
      </w:r>
      <w:r>
        <w:t>section 9‑1519, subsection (7), section 9‑1522, subsection (1)</w:t>
      </w:r>
      <w:r>
        <w:t xml:space="preserve"> and </w:t>
      </w:r>
      <w:r>
        <w:t>section 9‑1523, subsection (3)</w:t>
      </w:r>
      <w:r>
        <w:t xml:space="preserve">, the filing with the filing office of a termination statement relating to a financing statement that indicates that the debtor is a transmitting utility also causes the effectiveness of the financing statement to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§§141, 142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§9-1513. Termination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§9-1513. Termination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§9-1513. TERMINATION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