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9-1519</w:t>
        <w:t xml:space="preserve">.  </w:t>
      </w:r>
      <w:r>
        <w:rPr>
          <w:b/>
        </w:rPr>
        <w:t xml:space="preserve">Numbering, maintaining and indexing records; communicating information provided in records</w:t>
      </w:r>
    </w:p>
    <w:p>
      <w:pPr>
        <w:jc w:val="both"/>
        <w:spacing w:before="100" w:after="100"/>
        <w:ind w:start="360"/>
        <w:ind w:firstLine="360"/>
      </w:pPr>
      <w:r>
        <w:rPr>
          <w:b/>
        </w:rPr>
        <w:t>(1)</w:t>
        <w:t xml:space="preserve">.  </w:t>
      </w:r>
      <w:r>
        <w:rPr>
          <w:b/>
        </w:rPr>
      </w:r>
      <w:r>
        <w:t xml:space="preserve"> </w:t>
      </w:r>
      <w:r>
        <w:t xml:space="preserve">For each record filed in a filing office, the filing office shall:</w:t>
      </w:r>
    </w:p>
    <w:p>
      <w:pPr>
        <w:jc w:val="both"/>
        <w:spacing w:before="100" w:after="0"/>
        <w:ind w:start="720"/>
      </w:pPr>
      <w:r>
        <w:rPr/>
        <w:t>(a)</w:t>
        <w:t xml:space="preserve">.  </w:t>
      </w:r>
      <w:r>
        <w:rPr/>
      </w:r>
      <w:r>
        <w:t xml:space="preserve">Assign a unique number to the filed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Create a record that bears the number assigned to the filed record and the date and time of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Maintain the filed record for public inspection;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Index the filed record in accordance with </w:t>
      </w:r>
      <w:r>
        <w:t>subsections (3)</w:t>
      </w:r>
      <w:r>
        <w:t xml:space="preserve">, </w:t>
      </w:r>
      <w:r>
        <w:t>(4)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file number assigned after January 1, 2002 must include a digit that:</w:t>
      </w:r>
    </w:p>
    <w:p>
      <w:pPr>
        <w:jc w:val="both"/>
        <w:spacing w:before="100" w:after="0"/>
        <w:ind w:start="720"/>
      </w:pPr>
      <w:r>
        <w:rPr/>
        <w:t>(a)</w:t>
        <w:t xml:space="preserve">.  </w:t>
      </w:r>
      <w:r>
        <w:rPr/>
      </w:r>
      <w:r>
        <w:t xml:space="preserve">Is mathematically derived from or related to the other digits of the file number;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Aids the filing office in determining whether a number communicated as the file number includes a single-digit or transpositional error.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subsections (4)</w:t>
      </w:r>
      <w:r>
        <w:t xml:space="preserve"> and </w:t>
      </w:r>
      <w:r>
        <w:t>(5)</w:t>
      </w:r>
      <w:r>
        <w:t xml:space="preserve">, the filing office shall:</w:t>
      </w:r>
    </w:p>
    <w:p>
      <w:pPr>
        <w:jc w:val="both"/>
        <w:spacing w:before="100" w:after="0"/>
        <w:ind w:start="720"/>
      </w:pPr>
      <w:r>
        <w:rPr/>
        <w:t>(a)</w:t>
        <w:t xml:space="preserve">.  </w:t>
      </w:r>
      <w:r>
        <w:rPr/>
      </w:r>
      <w:r>
        <w:t xml:space="preserve">Index an initial financing statement according to the name of the debtor and index all filed records relating to the initial financing statement in a manner that associates with one another an initial financing statement and all filed records relating to the initial financing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Index a record that provides a name of a debtor that was not previously provided in the financing statement to which the record relates also according to the name that was not previously provided.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If a financing statement is recorded as a fixture filing or covers as-extracted collateral or timber to be cut, it must be recorded and the filing office shall index it:</w:t>
      </w:r>
    </w:p>
    <w:p>
      <w:pPr>
        <w:jc w:val="both"/>
        <w:spacing w:before="100" w:after="0"/>
        <w:ind w:start="720"/>
      </w:pPr>
      <w:r>
        <w:rPr/>
        <w:t>(a)</w:t>
        <w:t xml:space="preserve">.  </w:t>
      </w:r>
      <w:r>
        <w:rPr/>
      </w:r>
      <w:r>
        <w:t xml:space="preserve">Under the names of the debtor and of each owner of record shown on the financing statement as if they were the mortgagors under a mortgage of the real property described;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the extent that the law of this State provides for indexing of records of mortgages under the name of the mortgagee, under the name of the secured party as if the secured party were the mortgagee thereunder, or, if indexing is by description, as if the financing statement were a record of a mortgage of the real property described.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a financing statement is recorded as a fixture filing or covers as-extracted collateral or timber to be cut, the filing office shall index an assignment recorded under </w:t>
      </w:r>
      <w:r>
        <w:t>section 9‑1514, subsection (1)</w:t>
      </w:r>
      <w:r>
        <w:t xml:space="preserve"> or an amendment recorded under </w:t>
      </w:r>
      <w:r>
        <w:t>section 9‑1514, subsection (2)</w:t>
      </w:r>
      <w:r>
        <w:t xml:space="preserve">:</w:t>
      </w:r>
    </w:p>
    <w:p>
      <w:pPr>
        <w:jc w:val="both"/>
        <w:spacing w:before="100" w:after="0"/>
        <w:ind w:start="720"/>
      </w:pPr>
      <w:r>
        <w:rPr/>
        <w:t>(a)</w:t>
        <w:t xml:space="preserve">.  </w:t>
      </w:r>
      <w:r>
        <w:rPr/>
      </w:r>
      <w:r>
        <w:t xml:space="preserve">Under the name of the assignor as grantor;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the extent that the law of this State provides for indexing a record of the assignment of a mortgage under the name of the assignee, under the name of the assignee.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The filing office shall maintain a capability:</w:t>
      </w:r>
    </w:p>
    <w:p>
      <w:pPr>
        <w:jc w:val="both"/>
        <w:spacing w:before="100" w:after="0"/>
        <w:ind w:start="720"/>
      </w:pPr>
      <w:r>
        <w:rPr/>
        <w:t>(a)</w:t>
        <w:t xml:space="preserve">.  </w:t>
      </w:r>
      <w:r>
        <w:rPr/>
      </w:r>
      <w:r>
        <w:t xml:space="preserve">To retrieve a record by the name of the debtor and:</w:t>
      </w:r>
    </w:p>
    <w:p>
      <w:pPr>
        <w:jc w:val="both"/>
        <w:spacing w:before="100" w:after="0"/>
        <w:ind w:start="1080"/>
      </w:pPr>
      <w:r>
        <w:rPr/>
        <w:t>(</w:t>
        <w:t>i</w:t>
        <w:t xml:space="preserve">)  </w:t>
      </w:r>
      <w:r>
        <w:rPr/>
      </w:r>
      <w:r>
        <w:t xml:space="preserve">If the filing office is the county registry of deeds, by the book and page at which the initial financing statement to which the record relates was recorded; or</w:t>
      </w:r>
    </w:p>
    <w:p>
      <w:pPr>
        <w:jc w:val="both"/>
        <w:spacing w:before="100" w:after="0"/>
        <w:ind w:start="1080"/>
      </w:pPr>
      <w:r>
        <w:rPr/>
        <w:t>(</w:t>
        <w:t>ii</w:t>
        <w:t xml:space="preserve">)  </w:t>
      </w:r>
      <w:r>
        <w:rPr/>
      </w:r>
      <w:r>
        <w:t xml:space="preserve">If the filing office is the office of the Secretary of State, by the file number assigned to the initial financing statement to which the record relates; and</w:t>
      </w:r>
      <w:r>
        <w:t xml:space="preserve">  </w:t>
      </w:r>
      <w:r xmlns:wp="http://schemas.openxmlformats.org/drawingml/2010/wordprocessingDrawing" xmlns:w15="http://schemas.microsoft.com/office/word/2012/wordml">
        <w:rPr>
          <w:rFonts w:ascii="Arial" w:hAnsi="Arial" w:cs="Arial"/>
          <w:sz w:val="22"/>
          <w:szCs w:val="22"/>
        </w:rPr>
        <w:t xml:space="preserve">[PL 2001, c. 286, §8 (AMD).]</w:t>
      </w:r>
    </w:p>
    <w:p>
      <w:pPr>
        <w:jc w:val="both"/>
        <w:spacing w:before="100" w:after="0"/>
        <w:ind w:start="720"/>
      </w:pPr>
      <w:r>
        <w:rPr/>
        <w:t>(b)</w:t>
        <w:t xml:space="preserve">.  </w:t>
      </w:r>
      <w:r>
        <w:rPr/>
      </w:r>
      <w:r>
        <w:t xml:space="preserve">To associate and retrieve with one another an initial financing statement and each filed record relating to the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§8 (AMD).]</w:t>
      </w:r>
    </w:p>
    <w:p>
      <w:pPr>
        <w:jc w:val="both"/>
        <w:spacing w:before="100" w:after="0"/>
        <w:ind w:start="360"/>
        <w:ind w:firstLine="360"/>
      </w:pPr>
      <w:r>
        <w:rPr>
          <w:b/>
        </w:rPr>
        <w:t>(7)</w:t>
        <w:t xml:space="preserve">.  </w:t>
      </w:r>
      <w:r>
        <w:rPr>
          <w:b/>
        </w:rPr>
      </w:r>
      <w:r>
        <w:t xml:space="preserve"> </w:t>
      </w:r>
      <w:r>
        <w:t xml:space="preserve">The filing office may not remove a debtor's name from the index until one year after the effectiveness of a financing statement naming the debtor lapses under </w:t>
      </w:r>
      <w:r>
        <w:t>section 9‑1515</w:t>
      </w:r>
      <w:r>
        <w:t xml:space="preserve"> with respect to all secured parties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The filing office shall perform the acts required by </w:t>
      </w:r>
      <w:r>
        <w:t>subsections (1)</w:t>
      </w:r>
      <w:r>
        <w:t xml:space="preserve"> to </w:t>
      </w:r>
      <w:r>
        <w:t>(5)</w:t>
      </w:r>
      <w:r>
        <w:t xml:space="preserve"> at the time and in the manner prescribed by filing-office rule, but not later than 2 business days after the filing office receives the record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Subsections (2)</w:t>
      </w:r>
      <w:r>
        <w:t xml:space="preserve"> and </w:t>
      </w:r>
      <w:r>
        <w:t>(8)</w:t>
      </w:r>
      <w:r>
        <w:t xml:space="preserve"> do not apply to a county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§9-1519. Numbering, maintaining and indexing records; communicating information provided in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§9-1519. Numbering, maintaining and indexing records; communicating information provided in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§9-1519. NUMBERING, MAINTAINING AND INDEXING RECORDS; COMMUNICATING INFORMATION PROVIDED IN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