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04. Procedure if security agreement covers real property or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4. Procedure if security agreement covers real property or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4. PROCEDURE IF SECURITY AGREEMENT COVERS REAL PROPERTY OR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