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§9-1704. Security interest unperfected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§9-1704. Security interest unperfected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§9-1704. SECURITY INTEREST UNPERFECTED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