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215. FIRE PREVENTION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