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WATERCRAFT, SNOWMOBILES, AIRMOBILES AND ALL-TERRAIN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WATERCRAFT</w:t>
      </w:r>
    </w:p>
    <w:p>
      <w:pPr>
        <w:jc w:val="center"/>
        <w:ind w:start="360"/>
        <w:spacing w:before="300" w:after="300"/>
      </w:pPr>
      <w:r>
        <w:rPr>
          <w:b/>
        </w:rPr>
        <w:t>(REPEALED)</w:t>
      </w:r>
    </w:p>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jc w:val="center"/>
        <w:ind w:start="360"/>
        <w:spacing w:before="300" w:after="300"/>
      </w:pPr>
      <w:r>
        <w:rPr>
          <w:b/>
        </w:rPr>
        <w:t>SUBCHAPTER</w:t>
        <w:t xml:space="preserve"> </w:t>
        <w:t>4</w:t>
      </w:r>
    </w:p>
    <w:p>
      <w:pPr>
        <w:jc w:val="center"/>
        <w:ind w:start="360"/>
        <w:spacing w:before="300" w:after="300"/>
      </w:pPr>
      <w:r>
        <w:rPr>
          <w:b/>
        </w:rPr>
        <w:t xml:space="preserve">ALL-TERRAIN VEHICLES</w:t>
      </w:r>
    </w:p>
    <w:p>
      <w:pPr>
        <w:jc w:val="center"/>
        <w:ind w:start="360"/>
        <w:spacing w:before="300" w:after="300"/>
      </w:pPr>
      <w:r>
        <w:rPr>
          <w:b/>
        </w:rPr>
        <w:t>(REPEALED)</w:t>
      </w:r>
    </w:p>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WATERCRAFT, SNOWMOBILES, AIRMOBILES AND ALL-TERRAIN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WATERCRAFT, SNOWMOBILES, AIRMOBILES AND ALL-TERRAIN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715. WATERCRAFT, SNOWMOBILES, AIRMOBILES AND ALL-TERRAIN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