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919. REGISTRATION AND TRANSPORT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