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Nominations, elections and appointments of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Nominations, elections and appointments of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 NOMINATIONS, ELECTIONS AND APPOINTMENTS OF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