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Appointment</w:t>
      </w:r>
    </w:p>
    <w:p>
      <w:pPr>
        <w:jc w:val="both"/>
        <w:spacing w:before="100" w:after="100"/>
        <w:ind w:start="360"/>
        <w:ind w:firstLine="360"/>
      </w:pPr>
      <w:r>
        <w:rPr/>
      </w:r>
      <w:r>
        <w:rPr/>
      </w:r>
      <w:r>
        <w:t xml:space="preserve">The commissioner is appointed by the Governor, subject to review by the joint standing committee of the Legislature having jurisdiction over fisheries and wildlife matters and to confirmation by the Legislature. The commissioner serves at the pleasure of the Governor.  Any candidate for the office of commissioner must have a record of demonstrated support for, and an understanding of, the basics of modern wildlife and fisheries management and have experience in hunting, fishing or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