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10263</w:t>
        <w:t xml:space="preserve">.  </w:t>
      </w:r>
      <w:r>
        <w:rPr>
          <w:b/>
        </w:rPr>
        <w:t xml:space="preserve">Moose Research and Management Fund</w:t>
      </w:r>
    </w:p>
    <w:p>
      <w:pPr>
        <w:jc w:val="both"/>
        <w:spacing w:before="100" w:after="100"/>
        <w:ind w:start="360"/>
        <w:ind w:firstLine="360"/>
      </w:pPr>
      <w:r>
        <w:rPr/>
      </w:r>
      <w:r>
        <w:rPr/>
      </w:r>
      <w:r>
        <w:t xml:space="preserve">The Moose Research and Management Fund, referred to in this section as "the fund," is established within the department as a nonlapsing fund to be used by the commissioner to fund or assist in funding the research and the management of moose.  One hundred dollars from each nonresident moose hunting permit issued under </w:t>
      </w:r>
      <w:r>
        <w:t>section 11154, subsection 3</w:t>
      </w:r>
      <w:r>
        <w:t xml:space="preserve"> must be deposited in the fund.  In addition, up to $25,000 may be deposited in the fund from the revenues generated by moose hunting application and permit fees to carry out the department's documented moose research.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2017, c. 427, §3 (AMD); PL 2017, c. 427, §19 (AFF).]</w:t>
      </w:r>
    </w:p>
    <w:p>
      <w:pPr>
        <w:jc w:val="both"/>
        <w:spacing w:before="100" w:after="100"/>
        <w:ind w:start="360"/>
      </w:pPr>
      <w:r>
        <w:rPr>
          <w:b w:val="true"/>
          <w:i/>
          <w:caps w:val="true"/>
        </w:rPr>
        <w:t xml:space="preserve">Revisor's Note: </w:t>
      </w:r>
      <w:r>
        <w:t>§10263.  Predator Control and Deer Habitat Fund (As enacted by PL 2011, c. 381, §5 is REALLOCATED TO TITLE 12, SECTION 10264)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370, §2 (NEW). PL 2011, c. 381, §5 (NEW). PL 2017, c. 427, §3 (AMD). PL 2017, c. 427,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§10263. Moose Research 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§10263. Moose Research 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§10263. MOOSE RESEARCH 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