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10267</w:t>
        <w:t xml:space="preserve">.  </w:t>
      </w:r>
      <w:r>
        <w:rPr>
          <w:b/>
        </w:rPr>
        <w:t xml:space="preserve">ATV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ATV Enforcement Fund, referred to in this section as "the fund," is established in the Bureau of Warden Service to be used by the Game Warden Colonel for the purposes established in </w:t>
      </w:r>
      <w:r>
        <w:t>subsection 2</w:t>
      </w:r>
      <w:r>
        <w:t xml:space="preserve">. All funds collected by the department pursuant to this section must be deposited in the fund.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w:t>
      </w:r>
    </w:p>
    <w:p>
      <w:pPr>
        <w:jc w:val="both"/>
        <w:spacing w:before="100" w:after="0"/>
        <w:ind w:start="720"/>
      </w:pPr>
      <w:r>
        <w:rPr/>
        <w:t>A</w:t>
        <w:t xml:space="preserve">.  </w:t>
      </w:r>
      <w:r>
        <w:rPr/>
      </w:r>
      <w:r>
        <w:t xml:space="preserve">Supplementing other funds appropriated to the enforcement operations program;</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B</w:t>
        <w:t xml:space="preserve">.  </w:t>
      </w:r>
      <w:r>
        <w:rPr/>
      </w:r>
      <w:r>
        <w:t xml:space="preserve">Regular or overtime personnel services costs of the warden service related to enforcement of ATV laws;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C</w:t>
        <w:t xml:space="preserve">.  </w:t>
      </w:r>
      <w:r>
        <w:rPr/>
      </w:r>
      <w:r>
        <w:t xml:space="preserve">Safety or other education programs conducted by the department or authorized by the department that are related to the operation of ATVs; or</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D</w:t>
        <w:t xml:space="preserve">.  </w:t>
      </w:r>
      <w:r>
        <w:rPr/>
      </w:r>
      <w:r>
        <w:t xml:space="preserve">The purchase of equipment or machinery determined by the Game Warden Colonel as necessary for effective ATV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§10267. ATV Enforcement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§10267. ATV Enforcement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§10267. ATV ENFORCEMENT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