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10656</w:t>
        <w:t xml:space="preserve">.  </w:t>
      </w:r>
      <w:r>
        <w:rPr>
          <w:b/>
        </w:rPr>
        <w:t xml:space="preserve">Defacement of notices</w:t>
      </w:r>
    </w:p>
    <w:p>
      <w:pPr>
        <w:jc w:val="both"/>
        <w:spacing w:before="100" w:after="0"/>
        <w:ind w:start="360"/>
        <w:ind w:firstLine="360"/>
      </w:pPr>
      <w:r>
        <w:rPr>
          <w:b/>
        </w:rPr>
        <w:t>1</w:t>
        <w:t xml:space="preserve">.  </w:t>
      </w:r>
      <w:r>
        <w:rPr>
          <w:b/>
        </w:rPr>
        <w:t xml:space="preserve">Prohibition on defacement of notices.</w:t>
        <w:t xml:space="preserve"> </w:t>
      </w:r>
      <w:r>
        <w:t xml:space="preserve"> </w:t>
      </w:r>
      <w:r>
        <w:t xml:space="preserve">A person may not intentionally or knowingly mutilate, deface or destroy a notice or rule of the commissioner posted in conformity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§10656. Defacement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§10656. Defacement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§10656. DEFACEMENT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