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§10753. PROOF OF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