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10757</w:t>
        <w:t xml:space="preserve">.  </w:t>
      </w:r>
      <w:r>
        <w:rPr>
          <w:b/>
        </w:rPr>
        <w:t xml:space="preserve">Fraudulently obtaining or possessing license, permit or registration</w:t>
      </w:r>
    </w:p>
    <w:p>
      <w:pPr>
        <w:jc w:val="both"/>
        <w:spacing w:before="100" w:after="100"/>
        <w:ind w:start="360"/>
        <w:ind w:firstLine="360"/>
      </w:pPr>
      <w:r>
        <w:rPr/>
      </w:r>
      <w:r>
        <w:rPr/>
      </w:r>
      <w:r>
        <w:t xml:space="preserve">A person may not obtain or possess a paper or electronic license, permit or registration authorized in this Part through fraud, misstatement or misrepresentation.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452,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253, §10 (AMD). PL 2015, c. 281, Pt. A, §2 (AMD). PL 2019, c. 452,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§10757. Fraudulently obtaining or possessing license, permit 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§10757. Fraudulently obtaining or possessing license, permit 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§10757. FRAUDULENTLY OBTAINING OR POSSESSING LICENSE, PERMIT 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