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§10907. Obtaining suspended or revoked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 Obtaining suspended or revoked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§10907. OBTAINING SUSPENDED OR REVOKED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