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10951</w:t>
        <w:t xml:space="preserve">.  </w:t>
      </w:r>
      <w:r>
        <w:rPr>
          <w:b/>
        </w:rPr>
        <w:t xml:space="preserve">Closed season</w:t>
      </w:r>
    </w:p>
    <w:p>
      <w:pPr>
        <w:jc w:val="both"/>
        <w:spacing w:before="100" w:after="0"/>
        <w:ind w:start="360"/>
        <w:ind w:firstLine="360"/>
      </w:pPr>
      <w:r>
        <w:rPr>
          <w:b/>
        </w:rPr>
        <w:t>1</w:t>
        <w:t xml:space="preserve">.  </w:t>
      </w:r>
      <w:r>
        <w:rPr>
          <w:b/>
        </w:rPr>
        <w:t xml:space="preserve">General; prohibition.</w:t>
        <w:t xml:space="preserve"> </w:t>
      </w:r>
      <w:r>
        <w:t xml:space="preserve"> </w:t>
      </w:r>
      <w:r>
        <w:t xml:space="preserve">Except as otherwise provided in this Part and except as the commissioner may establish by rule not inconsistent with this Part, there is a perpetually closed season on hunting any wild animal or wild bird.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§10951. Closed season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§10951. Closed season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§10951. CLOSED SEASON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