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§11351. Bear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§11351. Bear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§11351. BEAR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