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12157</w:t>
        <w:t xml:space="preserve">.  </w:t>
      </w:r>
      <w:r>
        <w:rPr>
          <w:b/>
        </w:rPr>
        <w:t xml:space="preserve">Permit to transport wildlife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The commissioner may issue a permit to anyone permitting that person to take and transport within the limits of the State wildlife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take or transport within the limits of the State wildlife taken in the State for breeding or advertising purposes unless that person holds a valid permit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w:t>
      </w:r>
      <w:r>
        <w:t>subsection 2</w:t>
      </w:r>
      <w:r>
        <w:t xml:space="preserve">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§B205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§12157. Permit to transport wildlife for breeding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§12157. Permit to transport wildlife for breeding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§12157. PERMIT TO TRANSPORT WILDLIFE FOR BREEDING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