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12510</w:t>
        <w:t xml:space="preserve">.  </w:t>
      </w:r>
      <w:r>
        <w:rPr>
          <w:b/>
        </w:rPr>
        <w:t xml:space="preserve">Permit to stock inland waters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of any kind into any inland waters without a valid permit issued under this section.  A person who violates this subsection commits a Class E crime, except that, notwithstanding </w:t>
      </w:r>
      <w:r>
        <w:t>Title 17‑A, section 1704</w:t>
      </w:r>
      <w:r>
        <w:t xml:space="preserve">, the fine may not be less than $1,000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§21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allowing a person to introduce fish of any kind into any inland waters by means of live fish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Limited permit.</w:t>
        <w:t xml:space="preserve"> </w:t>
      </w:r>
      <w:r>
        <w:t xml:space="preserve"> </w:t>
      </w:r>
      <w:r>
        <w:t xml:space="preserve">The commissioner may issue a written limited permit to a local government under this subsection.  A limited permit:</w:t>
      </w:r>
    </w:p>
    <w:p>
      <w:pPr>
        <w:jc w:val="both"/>
        <w:spacing w:before="100" w:after="0"/>
        <w:ind w:start="720"/>
      </w:pPr>
      <w:r>
        <w:rPr/>
        <w:t>A</w:t>
        <w:t xml:space="preserve">.  </w:t>
      </w:r>
      <w:r>
        <w:rPr/>
      </w:r>
      <w:r>
        <w:t xml:space="preserve">Allows the local government to introduce fish only into a great pond that:</w:t>
      </w:r>
    </w:p>
    <w:p>
      <w:pPr>
        <w:jc w:val="both"/>
        <w:spacing w:before="100" w:after="0"/>
        <w:ind w:start="1080"/>
      </w:pPr>
      <w:r>
        <w:rPr/>
        <w:t>(</w:t>
        <w:t>1</w:t>
        <w:t xml:space="preserve">)  </w:t>
      </w:r>
      <w:r>
        <w:rPr/>
      </w:r>
      <w:r>
        <w:t xml:space="preserve">Is within the jurisdiction of the local government; and</w:t>
      </w:r>
    </w:p>
    <w:p>
      <w:pPr>
        <w:jc w:val="both"/>
        <w:spacing w:before="100" w:after="0"/>
        <w:ind w:start="1080"/>
      </w:pPr>
      <w:r>
        <w:rPr/>
        <w:t>(</w:t>
        <w:t>2</w:t>
        <w:t xml:space="preserve">)  </w:t>
      </w:r>
      <w:r>
        <w:rPr/>
      </w:r>
      <w:r>
        <w:t xml:space="preserve">Was previously stocked by the department and in which stocking was suspended prior to January 1, 2019 and has not been resumed by the department due to inadequate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B</w:t>
        <w:t xml:space="preserve">.  </w:t>
      </w:r>
      <w:r>
        <w:rPr/>
      </w:r>
      <w:r>
        <w:t xml:space="preserve">Allows the introduction of only:</w:t>
      </w:r>
    </w:p>
    <w:p>
      <w:pPr>
        <w:jc w:val="both"/>
        <w:spacing w:before="100" w:after="0"/>
        <w:ind w:start="1080"/>
      </w:pPr>
      <w:r>
        <w:rPr/>
        <w:t>(</w:t>
        <w:t>1</w:t>
        <w:t xml:space="preserve">)  </w:t>
      </w:r>
      <w:r>
        <w:rPr/>
      </w:r>
      <w:r>
        <w:t xml:space="preserve">The same species of fish that was stocked at the time the department suspended stocking; and</w:t>
      </w:r>
    </w:p>
    <w:p>
      <w:pPr>
        <w:jc w:val="both"/>
        <w:spacing w:before="100" w:after="0"/>
        <w:ind w:start="1080"/>
      </w:pPr>
      <w:r>
        <w:rPr/>
        <w:t>(</w:t>
        <w:t>2</w:t>
        <w:t xml:space="preserve">)  </w:t>
      </w:r>
      <w:r>
        <w:rPr/>
      </w:r>
      <w:r>
        <w:t xml:space="preserve">Fish obtained by the local government at its own expense from an in-state commercial facility that meets testing and health guidelines approved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C</w:t>
        <w:t xml:space="preserve">.  </w:t>
      </w:r>
      <w:r>
        <w:rPr/>
      </w:r>
      <w:r>
        <w:t xml:space="preserve">May be issued only if the local government identifies public access to the great pond that:</w:t>
      </w:r>
    </w:p>
    <w:p>
      <w:pPr>
        <w:jc w:val="both"/>
        <w:spacing w:before="100" w:after="0"/>
        <w:ind w:start="1080"/>
      </w:pPr>
      <w:r>
        <w:rPr/>
        <w:t>(</w:t>
        <w:t>1</w:t>
        <w:t xml:space="preserve">)  </w:t>
      </w:r>
      <w:r>
        <w:rPr/>
      </w:r>
      <w:r>
        <w:t xml:space="preserve">Is at least suitable for the hand carrying of boats to the water;</w:t>
      </w:r>
    </w:p>
    <w:p>
      <w:pPr>
        <w:jc w:val="both"/>
        <w:spacing w:before="100" w:after="0"/>
        <w:ind w:start="1080"/>
      </w:pPr>
      <w:r>
        <w:rPr/>
        <w:t>(</w:t>
        <w:t>2</w:t>
        <w:t xml:space="preserve">)  </w:t>
      </w:r>
      <w:r>
        <w:rPr/>
      </w:r>
      <w:r>
        <w:t xml:space="preserve">Includes a parking area; and</w:t>
      </w:r>
    </w:p>
    <w:p>
      <w:pPr>
        <w:jc w:val="both"/>
        <w:spacing w:before="100" w:after="0"/>
        <w:ind w:start="1080"/>
      </w:pPr>
      <w:r>
        <w:rPr/>
        <w:t>(</w:t>
        <w:t>3</w:t>
        <w:t xml:space="preserve">)  </w:t>
      </w:r>
      <w:r>
        <w:rPr/>
      </w:r>
      <w:r>
        <w:t xml:space="preserve">Has been marked with signage adequate to ensure public awareness of the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360"/>
      </w:pPr>
      <w:r>
        <w:rPr/>
      </w:r>
      <w:r>
        <w:rPr/>
      </w:r>
      <w:r>
        <w:t xml:space="preserve">For purposes of this subsection, "local government" means a municipality or, in the unorganized territory,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113, Pt. C, §21 (AMD). PL 2019, c. 263,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§12510. Permit to stock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§12510. Permit to stock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§12510. PERMIT TO STOCK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