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§12663-B. Unlawful sale of lead sinkers, bare lead jigs and painted lead jigs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§12663-B. Unlawful sale of lead sinkers, bare lead jigs and painted lead jigs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§12663-B. UNLAWFUL SALE OF LEAD SINKERS, BARE LEAD JIGS AND PAINTED LEAD JIGS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