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12761</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inland waters, the owner, lessee or other person in control of the dam or other artificial obstruction shall provide written notice to the commissioner and the Commissioner of Marine Resources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pursuant to </w:t>
      </w:r>
      <w:r>
        <w:t>subsection 1</w:t>
      </w:r>
      <w:r>
        <w:t xml:space="preserve">, the commissioner and the Commissioner of Marine Resources shall review the plans in order to determine whether fishway construction or alteration of proposed fishway construction plans may be required pursuant to the criteria set forth in </w:t>
      </w:r>
      <w:r>
        <w:t>section 12760, subsection 4</w:t>
      </w:r>
      <w:r>
        <w:t xml:space="preserve">.  If the commissioners determine that the construction or alteration may be necessary, the commissioners shall initiate fishway proceedings and follow the procedures prescribed in </w:t>
      </w:r>
      <w:r>
        <w:t>section 12760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100"/>
        <w:ind w:start="360"/>
        <w:ind w:firstLine="360"/>
      </w:pPr>
      <w:r>
        <w:rPr>
          <w:b/>
        </w:rPr>
        <w:t>3</w:t>
        <w:t xml:space="preserve">.  </w:t>
      </w:r>
      <w:r>
        <w:rPr>
          <w:b/>
        </w:rPr>
        <w:t xml:space="preserve">Unlawful building of dam.</w:t>
        <w:t xml:space="preserve"> </w:t>
      </w:r>
      <w:r>
        <w:t xml:space="preserve"> </w:t>
      </w:r>
      <w:r>
        <w:t xml:space="preserve">A person may not build any dam or other obstruction in any of the rivers, streams or brooks of this State without first filing written notice with the commissioner and the Commissioner of Marine Resources pursuant to </w:t>
      </w:r>
      <w:r>
        <w:t>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§B305 (AMD). PL 2003, c. 655, §B422 (AFF). PL 2011, c. 612,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§12761. Construction of new dams or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§12761. Construction of new dams or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§12761. CONSTRUCTION OF NEW DAMS OR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