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§12853. LICENSE, FEES AND REQUIREMENTS; YOUTH CAMP TRIP LEADER AND EDUCATIONAL TRIP LEADER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