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§12910. Safety; order of launch; safety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§12910. Safety; order of launch; safety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§12910. SAFETY; ORDER OF LAUNCH; SAFETY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