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§13067. Waste water discharge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Waste water discharge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§13067. WASTE WATER DISCHARGE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