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1808</w:t>
        <w:t xml:space="preserve">.  </w:t>
      </w:r>
      <w:r>
        <w:rPr>
          <w:b/>
        </w:rPr>
        <w:t xml:space="preserve">Forest inventory timeline established</w:t>
      </w:r>
    </w:p>
    <w:p>
      <w:pPr>
        <w:jc w:val="both"/>
        <w:spacing w:before="100" w:after="100"/>
        <w:ind w:start="360"/>
        <w:ind w:firstLine="360"/>
      </w:pPr>
      <w:r>
        <w:rPr/>
      </w:r>
      <w:r>
        <w:rPr/>
      </w:r>
      <w:r>
        <w:t xml:space="preserve">The department shall conduct a detailed forest inventory of the State's public reserved lands and nonreserved public lands by March 15, 2021 and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2017, c. 289,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§1808. Forest inventory timeline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§1808. Forest inventory timeline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§1808. FOREST INVENTORY TIMELINE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