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Transfer lands to another agency; receive lands from another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Transfer lands to another agency; receive lands from another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§1815. TRANSFER LANDS TO ANOTHER AGENCY; RECEIVE LANDS FROM ANOTHER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