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w:t>
        <w:t xml:space="preserve">.  </w:t>
      </w:r>
      <w:r>
        <w:rPr>
          <w:b/>
        </w:rPr>
        <w:t xml:space="preserve">Nonreserved Public Lands Management Fund</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nonreserved public lands, timber and grass and other rights and things of value from the nonreserved public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nonreserved public land, or other income arising out of mining operations, that is actually received during any fiscal year, and every portion thereof accruing from these mining operations, must be paid into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§8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To accomplish the purposes of this subchapter, there is established the Nonreserved Public Lands Management Fund.  All income received by the bureau pursuant to this subchapter must be recorded on the books of the State in a separate account and deposited with the Treasurer of State to be credited to the Nonreserved Public Lands Management Fund.  Any interest earned on this money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credited to the Nonreserved Public Lands Management Fund may be used only to produce a sustained yield of goods and services from those lands for multiple use purposes in accordance with the principles of sound planning and sound business practices or for the acquisition of additional land for the same purpose.  Any balance remaining continues from year to year as a fund available only for the purposes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Legislative approval of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§18 (AMD). PL 2011, c. 655, Pt. KK, §10 (AMD). PL 2011, c. 655, Pt. KK, §34 (AFF). PL 2011, c. 657, Pt. W, §7 (REV). PL 2013, c. 368, Pt. LLLL, §1 (AMD). PL 2013, c. 405, Pt. A, §24 (REV). PL 2013, c. 405,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 Nonreserved Public Lands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 Nonreserved Public Lands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§1835. NONRESERVED PUBLIC LANDS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