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§1849. Revenue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Revenue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§1849. REVENUE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