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 Maine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Maine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 MAINE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