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4656</w:t>
        <w:t xml:space="preserve">.  </w:t>
      </w:r>
      <w:r>
        <w:rPr>
          <w:b/>
        </w:rPr>
        <w:t xml:space="preserve">Appropriation</w:t>
      </w:r>
    </w:p>
    <w:p>
      <w:pPr>
        <w:jc w:val="both"/>
        <w:spacing w:before="100" w:after="100"/>
        <w:ind w:start="360"/>
        <w:ind w:firstLine="360"/>
      </w:pPr>
      <w:r>
        <w:rPr/>
      </w:r>
      <w:r>
        <w:rPr/>
      </w:r>
      <w:r>
        <w:t xml:space="preserve">Any money appropriated by the Legislature for the expenses of the commission must be paid out of the State Treasury on the audit and warrant of the State Controller, upon vouchers certified by the chair of the commission in the manner prescribed by law.</w:t>
      </w:r>
      <w:r>
        <w:t xml:space="preserve">  </w:t>
      </w:r>
      <w:r xmlns:wp="http://schemas.openxmlformats.org/drawingml/2010/wordprocessingDrawing" xmlns:w15="http://schemas.microsoft.com/office/word/2012/wordml">
        <w:rPr>
          <w:rFonts w:ascii="Arial" w:hAnsi="Arial" w:cs="Arial"/>
          <w:sz w:val="22"/>
          <w:szCs w:val="22"/>
        </w:rPr>
        <w:t xml:space="preserve">[RR 2021, c. 2,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§4656.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§4656.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§4656.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