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§5015. MAINE RIVERS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