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§544-L. FIELD INVESTIGATIONS, EXPLORATIONS AND RECOVERY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